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204" w:rsidRPr="003A2229" w:rsidRDefault="00A60204" w:rsidP="00A60204">
      <w:pPr>
        <w:spacing w:after="0"/>
        <w:jc w:val="center"/>
        <w:textAlignment w:val="baseline"/>
        <w:rPr>
          <w:rFonts w:ascii="Verdana" w:hAnsi="Verdana" w:cs="Times New Roman"/>
          <w:b/>
          <w:color w:val="000000"/>
          <w:szCs w:val="29"/>
          <w:u w:val="single"/>
        </w:rPr>
      </w:pPr>
      <w:r w:rsidRPr="003A2229">
        <w:rPr>
          <w:rFonts w:ascii="Verdana" w:hAnsi="Verdana" w:cs="Times New Roman"/>
          <w:b/>
          <w:color w:val="000000"/>
          <w:szCs w:val="29"/>
          <w:u w:val="single"/>
        </w:rPr>
        <w:t>AGM – 2018 The Chair’s Report</w:t>
      </w:r>
    </w:p>
    <w:p w:rsidR="00A60204" w:rsidRPr="003A2229" w:rsidRDefault="00A60204" w:rsidP="00A60204">
      <w:pPr>
        <w:spacing w:after="0"/>
        <w:textAlignment w:val="baseline"/>
        <w:rPr>
          <w:rFonts w:ascii="Verdana" w:hAnsi="Verdana" w:cs="Times New Roman"/>
          <w:color w:val="000000"/>
          <w:szCs w:val="29"/>
        </w:rPr>
      </w:pPr>
    </w:p>
    <w:p w:rsidR="008A01BC" w:rsidRDefault="008A01BC" w:rsidP="00A60204">
      <w:pPr>
        <w:spacing w:after="0"/>
        <w:textAlignment w:val="baseline"/>
        <w:rPr>
          <w:rFonts w:ascii="Verdana" w:hAnsi="Verdana" w:cs="Times New Roman"/>
          <w:color w:val="000000"/>
          <w:szCs w:val="29"/>
        </w:rPr>
      </w:pPr>
      <w:r>
        <w:rPr>
          <w:rFonts w:ascii="Verdana" w:hAnsi="Verdana" w:cs="Times New Roman"/>
          <w:color w:val="000000"/>
          <w:szCs w:val="29"/>
        </w:rPr>
        <w:t>I would like initially just to recognise the help of the many people who helped us reopen 1st Hampton in Arden Scout Group in April 2017.  Especially the support we have received from the District and County Commissioners Shirley and Liz.  It has been a fantastic year for everyone invol</w:t>
      </w:r>
      <w:bookmarkStart w:id="0" w:name="_GoBack"/>
      <w:bookmarkEnd w:id="0"/>
      <w:r>
        <w:rPr>
          <w:rFonts w:ascii="Verdana" w:hAnsi="Verdana" w:cs="Times New Roman"/>
          <w:color w:val="000000"/>
          <w:szCs w:val="29"/>
        </w:rPr>
        <w:t>ved.</w:t>
      </w:r>
    </w:p>
    <w:p w:rsidR="008A01BC" w:rsidRDefault="008A01BC" w:rsidP="00A60204">
      <w:pPr>
        <w:spacing w:after="0"/>
        <w:textAlignment w:val="baseline"/>
        <w:rPr>
          <w:rFonts w:ascii="Verdana" w:hAnsi="Verdana" w:cs="Times New Roman"/>
          <w:color w:val="000000"/>
          <w:szCs w:val="29"/>
        </w:rPr>
      </w:pPr>
    </w:p>
    <w:p w:rsidR="00A60204" w:rsidRPr="003A2229" w:rsidRDefault="00A60204"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The Group Executive Committee plays a vital role in the running of a Scout Group, making decisions and carrying out administrative tasks to ensure that the best quality Scouting can be delivered to the young people in the Group. Members of the Executive Committee must act collectively as charity trustees of the Scout Group, and in the best interests of its members.</w:t>
      </w:r>
    </w:p>
    <w:p w:rsidR="00A60204" w:rsidRPr="003A2229" w:rsidRDefault="00A60204" w:rsidP="00A60204">
      <w:pPr>
        <w:spacing w:after="0"/>
        <w:textAlignment w:val="baseline"/>
        <w:rPr>
          <w:rFonts w:ascii="Verdana" w:hAnsi="Verdana" w:cs="Times New Roman"/>
          <w:color w:val="000000"/>
          <w:szCs w:val="29"/>
        </w:rPr>
      </w:pPr>
    </w:p>
    <w:p w:rsidR="00A60204" w:rsidRPr="003A2229" w:rsidRDefault="0072553E"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The current</w:t>
      </w:r>
      <w:r w:rsidR="00A60204" w:rsidRPr="003A2229">
        <w:rPr>
          <w:rFonts w:ascii="Verdana" w:hAnsi="Verdana" w:cs="Times New Roman"/>
          <w:color w:val="000000"/>
          <w:szCs w:val="29"/>
        </w:rPr>
        <w:t xml:space="preserve"> 1</w:t>
      </w:r>
      <w:r w:rsidR="00A60204" w:rsidRPr="003A2229">
        <w:rPr>
          <w:rFonts w:ascii="Verdana" w:hAnsi="Verdana" w:cs="Times New Roman"/>
          <w:color w:val="000000"/>
          <w:szCs w:val="29"/>
          <w:vertAlign w:val="superscript"/>
        </w:rPr>
        <w:t>st</w:t>
      </w:r>
      <w:r w:rsidR="00A60204" w:rsidRPr="003A2229">
        <w:rPr>
          <w:rFonts w:ascii="Verdana" w:hAnsi="Verdana" w:cs="Times New Roman"/>
          <w:color w:val="000000"/>
          <w:szCs w:val="29"/>
        </w:rPr>
        <w:t xml:space="preserve"> Hampton in Arden Scout Group Executive Committee </w:t>
      </w:r>
      <w:r w:rsidRPr="003A2229">
        <w:rPr>
          <w:rFonts w:ascii="Verdana" w:hAnsi="Verdana" w:cs="Times New Roman"/>
          <w:color w:val="000000"/>
          <w:szCs w:val="29"/>
        </w:rPr>
        <w:t>is</w:t>
      </w:r>
      <w:r w:rsidR="00A60204" w:rsidRPr="003A2229">
        <w:rPr>
          <w:rFonts w:ascii="Verdana" w:hAnsi="Verdana" w:cs="Times New Roman"/>
          <w:color w:val="000000"/>
          <w:szCs w:val="29"/>
        </w:rPr>
        <w:t xml:space="preserve"> made up of the following members:</w:t>
      </w:r>
    </w:p>
    <w:p w:rsidR="00A60204" w:rsidRPr="003A2229" w:rsidRDefault="00A60204"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Rhona Cloke (Group Chairman); Natalie Thornton (Group Secretary); Melanie Sanders (Group Treasurer); Alistair Jarratt (elected member – Cub parent); Mark Cloke</w:t>
      </w:r>
      <w:r w:rsidR="00221CE5">
        <w:rPr>
          <w:rFonts w:ascii="Verdana" w:hAnsi="Verdana" w:cs="Times New Roman"/>
          <w:color w:val="000000"/>
          <w:szCs w:val="29"/>
        </w:rPr>
        <w:t xml:space="preserve"> (Beaver Scout Leader); Katie </w:t>
      </w:r>
      <w:proofErr w:type="spellStart"/>
      <w:r w:rsidR="00221CE5">
        <w:rPr>
          <w:rFonts w:ascii="Verdana" w:hAnsi="Verdana" w:cs="Times New Roman"/>
          <w:color w:val="000000"/>
          <w:szCs w:val="29"/>
        </w:rPr>
        <w:t>Sh</w:t>
      </w:r>
      <w:r w:rsidRPr="003A2229">
        <w:rPr>
          <w:rFonts w:ascii="Verdana" w:hAnsi="Verdana" w:cs="Times New Roman"/>
          <w:color w:val="000000"/>
          <w:szCs w:val="29"/>
        </w:rPr>
        <w:t>inner</w:t>
      </w:r>
      <w:proofErr w:type="spellEnd"/>
      <w:r w:rsidRPr="003A2229">
        <w:rPr>
          <w:rFonts w:ascii="Verdana" w:hAnsi="Verdana" w:cs="Times New Roman"/>
          <w:color w:val="000000"/>
          <w:szCs w:val="29"/>
        </w:rPr>
        <w:t xml:space="preserve"> (Assistant Cub Scout Leader); Lisa Swann (Scout Leader); Vicky Woodall (Group Scout Leader)</w:t>
      </w:r>
    </w:p>
    <w:p w:rsidR="00A60204" w:rsidRPr="003A2229" w:rsidRDefault="00A60204" w:rsidP="00A60204">
      <w:pPr>
        <w:spacing w:after="0"/>
        <w:textAlignment w:val="baseline"/>
        <w:rPr>
          <w:rFonts w:ascii="Verdana" w:hAnsi="Verdana" w:cs="Times New Roman"/>
          <w:color w:val="000000"/>
          <w:szCs w:val="29"/>
        </w:rPr>
      </w:pPr>
    </w:p>
    <w:p w:rsidR="00A60204" w:rsidRPr="003A2229" w:rsidRDefault="00A60204"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The Executive</w:t>
      </w:r>
      <w:r w:rsidR="003A216C" w:rsidRPr="003A2229">
        <w:rPr>
          <w:rFonts w:ascii="Verdana" w:hAnsi="Verdana" w:cs="Times New Roman"/>
          <w:color w:val="000000"/>
          <w:szCs w:val="29"/>
        </w:rPr>
        <w:t xml:space="preserve"> Committee has met formally on 7</w:t>
      </w:r>
      <w:r w:rsidRPr="003A2229">
        <w:rPr>
          <w:rFonts w:ascii="Verdana" w:hAnsi="Verdana" w:cs="Times New Roman"/>
          <w:color w:val="000000"/>
          <w:szCs w:val="29"/>
        </w:rPr>
        <w:t xml:space="preserve"> occasions </w:t>
      </w:r>
      <w:r w:rsidR="0072553E" w:rsidRPr="003A2229">
        <w:rPr>
          <w:rFonts w:ascii="Verdana" w:hAnsi="Verdana" w:cs="Times New Roman"/>
          <w:color w:val="000000"/>
          <w:szCs w:val="29"/>
        </w:rPr>
        <w:t>in the year</w:t>
      </w:r>
      <w:r w:rsidRPr="003A2229">
        <w:rPr>
          <w:rFonts w:ascii="Verdana" w:hAnsi="Verdana" w:cs="Times New Roman"/>
          <w:color w:val="000000"/>
          <w:szCs w:val="29"/>
        </w:rPr>
        <w:t xml:space="preserve">, with much work undertaken in between. I would like to express my warm thanks to all members of the Executive for their efforts over the course of 2017-18. In addition, I would like to thank </w:t>
      </w:r>
      <w:r w:rsidR="00F86762" w:rsidRPr="003A2229">
        <w:rPr>
          <w:rFonts w:ascii="Verdana" w:hAnsi="Verdana" w:cs="Times New Roman"/>
          <w:color w:val="000000"/>
          <w:szCs w:val="29"/>
        </w:rPr>
        <w:t xml:space="preserve">all the parents </w:t>
      </w:r>
      <w:r w:rsidRPr="003A2229">
        <w:rPr>
          <w:rFonts w:ascii="Verdana" w:hAnsi="Verdana" w:cs="Times New Roman"/>
          <w:color w:val="000000"/>
          <w:szCs w:val="29"/>
        </w:rPr>
        <w:t>for their support at our fundraising events.</w:t>
      </w:r>
    </w:p>
    <w:p w:rsidR="00A60204" w:rsidRPr="003A2229" w:rsidRDefault="00A60204" w:rsidP="00A60204">
      <w:pPr>
        <w:spacing w:after="0"/>
        <w:textAlignment w:val="baseline"/>
        <w:rPr>
          <w:rFonts w:ascii="Verdana" w:hAnsi="Verdana" w:cs="Times New Roman"/>
          <w:color w:val="000000"/>
          <w:szCs w:val="29"/>
        </w:rPr>
      </w:pPr>
    </w:p>
    <w:p w:rsidR="00F86762" w:rsidRPr="003A2229" w:rsidRDefault="00F86762" w:rsidP="00F86762">
      <w:pPr>
        <w:spacing w:after="0"/>
        <w:textAlignment w:val="baseline"/>
        <w:rPr>
          <w:rFonts w:ascii="Verdana" w:hAnsi="Verdana" w:cs="Times New Roman"/>
          <w:color w:val="000000"/>
          <w:szCs w:val="29"/>
        </w:rPr>
      </w:pPr>
      <w:r w:rsidRPr="003A2229">
        <w:rPr>
          <w:rFonts w:ascii="Verdana" w:hAnsi="Verdana" w:cs="Times New Roman"/>
          <w:color w:val="000000"/>
          <w:szCs w:val="29"/>
        </w:rPr>
        <w:t>I would like to thank the Hampton Scout and Guide Hut Supporters Association</w:t>
      </w:r>
      <w:r w:rsidR="00A60204" w:rsidRPr="003A2229">
        <w:rPr>
          <w:rFonts w:ascii="Verdana" w:hAnsi="Verdana" w:cs="Times New Roman"/>
          <w:color w:val="000000"/>
          <w:szCs w:val="29"/>
        </w:rPr>
        <w:t xml:space="preserve"> for the Group’s use of the </w:t>
      </w:r>
      <w:r w:rsidRPr="003A2229">
        <w:rPr>
          <w:rFonts w:ascii="Verdana" w:hAnsi="Verdana" w:cs="Times New Roman"/>
          <w:color w:val="000000"/>
          <w:szCs w:val="29"/>
        </w:rPr>
        <w:t xml:space="preserve">Hut and accommodating our needs this year. </w:t>
      </w:r>
      <w:r w:rsidR="00A60204" w:rsidRPr="003A2229">
        <w:rPr>
          <w:rFonts w:ascii="Verdana" w:hAnsi="Verdana" w:cs="Times New Roman"/>
          <w:color w:val="000000"/>
          <w:szCs w:val="29"/>
        </w:rPr>
        <w:t xml:space="preserve">This </w:t>
      </w:r>
      <w:r w:rsidRPr="003A2229">
        <w:rPr>
          <w:rFonts w:ascii="Verdana" w:hAnsi="Verdana" w:cs="Times New Roman"/>
          <w:color w:val="000000"/>
          <w:szCs w:val="29"/>
        </w:rPr>
        <w:t>physical space has enabled</w:t>
      </w:r>
      <w:r w:rsidR="004B6601" w:rsidRPr="003A2229">
        <w:rPr>
          <w:rFonts w:ascii="Verdana" w:hAnsi="Verdana" w:cs="Times New Roman"/>
          <w:color w:val="000000"/>
          <w:szCs w:val="29"/>
        </w:rPr>
        <w:t xml:space="preserve"> the Group’s s</w:t>
      </w:r>
      <w:r w:rsidR="00A60204" w:rsidRPr="003A2229">
        <w:rPr>
          <w:rFonts w:ascii="Verdana" w:hAnsi="Verdana" w:cs="Times New Roman"/>
          <w:color w:val="000000"/>
          <w:szCs w:val="29"/>
        </w:rPr>
        <w:t>couting activi</w:t>
      </w:r>
      <w:r w:rsidRPr="003A2229">
        <w:rPr>
          <w:rFonts w:ascii="Verdana" w:hAnsi="Verdana" w:cs="Times New Roman"/>
          <w:color w:val="000000"/>
          <w:szCs w:val="29"/>
        </w:rPr>
        <w:t xml:space="preserve">ties </w:t>
      </w:r>
      <w:r w:rsidR="00A60204" w:rsidRPr="003A2229">
        <w:rPr>
          <w:rFonts w:ascii="Verdana" w:hAnsi="Verdana" w:cs="Times New Roman"/>
          <w:color w:val="000000"/>
          <w:szCs w:val="29"/>
        </w:rPr>
        <w:t xml:space="preserve">to flourish. </w:t>
      </w:r>
      <w:r w:rsidRPr="003A2229">
        <w:rPr>
          <w:rFonts w:ascii="Verdana" w:hAnsi="Verdana" w:cs="Times New Roman"/>
          <w:color w:val="000000"/>
          <w:szCs w:val="29"/>
        </w:rPr>
        <w:t>We will continue to support their fund raising events</w:t>
      </w:r>
      <w:r w:rsidR="004B6601" w:rsidRPr="003A2229">
        <w:rPr>
          <w:rFonts w:ascii="Verdana" w:hAnsi="Verdana" w:cs="Times New Roman"/>
          <w:color w:val="000000"/>
          <w:szCs w:val="29"/>
        </w:rPr>
        <w:t xml:space="preserve"> as best we can for this amazing</w:t>
      </w:r>
      <w:r w:rsidRPr="003A2229">
        <w:rPr>
          <w:rFonts w:ascii="Verdana" w:hAnsi="Verdana" w:cs="Times New Roman"/>
          <w:color w:val="000000"/>
          <w:szCs w:val="29"/>
        </w:rPr>
        <w:t xml:space="preserve"> facility to continue in the future.</w:t>
      </w:r>
    </w:p>
    <w:p w:rsidR="00F86762" w:rsidRPr="003A2229" w:rsidRDefault="00F86762" w:rsidP="00F86762">
      <w:pPr>
        <w:spacing w:after="0"/>
        <w:textAlignment w:val="baseline"/>
        <w:rPr>
          <w:rFonts w:ascii="Verdana" w:hAnsi="Verdana" w:cs="Times New Roman"/>
          <w:color w:val="000000"/>
          <w:szCs w:val="29"/>
        </w:rPr>
      </w:pPr>
    </w:p>
    <w:p w:rsidR="00F86762" w:rsidRPr="003A2229" w:rsidRDefault="00A60204"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 xml:space="preserve">The Group </w:t>
      </w:r>
      <w:r w:rsidR="004B6601" w:rsidRPr="003A2229">
        <w:rPr>
          <w:rFonts w:ascii="Verdana" w:hAnsi="Verdana" w:cs="Times New Roman"/>
          <w:color w:val="000000"/>
          <w:szCs w:val="29"/>
        </w:rPr>
        <w:t xml:space="preserve">has </w:t>
      </w:r>
      <w:r w:rsidRPr="003A2229">
        <w:rPr>
          <w:rFonts w:ascii="Verdana" w:hAnsi="Verdana" w:cs="Times New Roman"/>
          <w:color w:val="000000"/>
          <w:szCs w:val="29"/>
        </w:rPr>
        <w:t>be</w:t>
      </w:r>
      <w:r w:rsidR="004B6601" w:rsidRPr="003A2229">
        <w:rPr>
          <w:rFonts w:ascii="Verdana" w:hAnsi="Verdana" w:cs="Times New Roman"/>
          <w:color w:val="000000"/>
          <w:szCs w:val="29"/>
        </w:rPr>
        <w:t>en</w:t>
      </w:r>
      <w:r w:rsidRPr="003A2229">
        <w:rPr>
          <w:rFonts w:ascii="Verdana" w:hAnsi="Verdana" w:cs="Times New Roman"/>
          <w:color w:val="000000"/>
          <w:szCs w:val="29"/>
        </w:rPr>
        <w:t xml:space="preserve"> an active and visible presence in t</w:t>
      </w:r>
      <w:r w:rsidR="004B6601" w:rsidRPr="003A2229">
        <w:rPr>
          <w:rFonts w:ascii="Verdana" w:hAnsi="Verdana" w:cs="Times New Roman"/>
          <w:color w:val="000000"/>
          <w:szCs w:val="29"/>
        </w:rPr>
        <w:t xml:space="preserve">he local community.  Beavers and Cubs turned </w:t>
      </w:r>
      <w:r w:rsidRPr="003A2229">
        <w:rPr>
          <w:rFonts w:ascii="Verdana" w:hAnsi="Verdana" w:cs="Times New Roman"/>
          <w:color w:val="000000"/>
          <w:szCs w:val="29"/>
        </w:rPr>
        <w:t>out smartly and in great numbers at the Remembrance Day Parade and Service in November, l</w:t>
      </w:r>
      <w:r w:rsidR="00F86762" w:rsidRPr="003A2229">
        <w:rPr>
          <w:rFonts w:ascii="Verdana" w:hAnsi="Verdana" w:cs="Times New Roman"/>
          <w:color w:val="000000"/>
          <w:szCs w:val="29"/>
        </w:rPr>
        <w:t>aying wreathes on behalf</w:t>
      </w:r>
      <w:r w:rsidRPr="003A2229">
        <w:rPr>
          <w:rFonts w:ascii="Verdana" w:hAnsi="Verdana" w:cs="Times New Roman"/>
          <w:color w:val="000000"/>
          <w:szCs w:val="29"/>
        </w:rPr>
        <w:t xml:space="preserve"> the Group.</w:t>
      </w:r>
      <w:r w:rsidR="00F86762" w:rsidRPr="003A2229">
        <w:rPr>
          <w:rFonts w:ascii="Verdana" w:hAnsi="Verdana" w:cs="Times New Roman"/>
          <w:color w:val="000000"/>
          <w:szCs w:val="29"/>
        </w:rPr>
        <w:t xml:space="preserve"> We supported the Hampton Festival</w:t>
      </w:r>
      <w:r w:rsidR="008E35F9" w:rsidRPr="003A2229">
        <w:rPr>
          <w:rFonts w:ascii="Verdana" w:hAnsi="Verdana" w:cs="Times New Roman"/>
          <w:color w:val="000000"/>
          <w:szCs w:val="29"/>
        </w:rPr>
        <w:t>:</w:t>
      </w:r>
      <w:r w:rsidR="00F86762" w:rsidRPr="003A2229">
        <w:rPr>
          <w:rFonts w:ascii="Verdana" w:hAnsi="Verdana" w:cs="Times New Roman"/>
          <w:color w:val="000000"/>
          <w:szCs w:val="29"/>
        </w:rPr>
        <w:t xml:space="preserve"> running the BBQ and other stalls, and attending the outdoor service.  We have supported the village tidy up and Christmas Post. </w:t>
      </w:r>
      <w:r w:rsidRPr="003A2229">
        <w:rPr>
          <w:rFonts w:ascii="Verdana" w:hAnsi="Verdana" w:cs="Times New Roman"/>
          <w:color w:val="000000"/>
          <w:szCs w:val="29"/>
        </w:rPr>
        <w:t xml:space="preserve">Scouting in the local community </w:t>
      </w:r>
      <w:r w:rsidR="008E35F9" w:rsidRPr="003A2229">
        <w:rPr>
          <w:rFonts w:ascii="Verdana" w:hAnsi="Verdana" w:cs="Times New Roman"/>
          <w:color w:val="000000"/>
          <w:szCs w:val="29"/>
        </w:rPr>
        <w:t>is and will continue to be</w:t>
      </w:r>
      <w:r w:rsidRPr="003A2229">
        <w:rPr>
          <w:rFonts w:ascii="Verdana" w:hAnsi="Verdana" w:cs="Times New Roman"/>
          <w:color w:val="000000"/>
          <w:szCs w:val="29"/>
        </w:rPr>
        <w:t xml:space="preserve"> an important part of what we do.</w:t>
      </w:r>
    </w:p>
    <w:p w:rsidR="00A60204" w:rsidRPr="003A2229" w:rsidRDefault="00A60204" w:rsidP="00A60204">
      <w:pPr>
        <w:spacing w:after="0"/>
        <w:textAlignment w:val="baseline"/>
        <w:rPr>
          <w:rFonts w:ascii="Verdana" w:hAnsi="Verdana" w:cs="Times New Roman"/>
          <w:color w:val="000000"/>
          <w:szCs w:val="29"/>
        </w:rPr>
      </w:pPr>
    </w:p>
    <w:p w:rsidR="00F86762" w:rsidRPr="003A2229" w:rsidRDefault="004B6601"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During on first year our numbers have grown</w:t>
      </w:r>
      <w:r w:rsidR="00A60204" w:rsidRPr="003A2229">
        <w:rPr>
          <w:rFonts w:ascii="Verdana" w:hAnsi="Verdana" w:cs="Times New Roman"/>
          <w:color w:val="000000"/>
          <w:szCs w:val="29"/>
        </w:rPr>
        <w:t>:</w:t>
      </w:r>
    </w:p>
    <w:p w:rsidR="00A60204" w:rsidRPr="003A2229" w:rsidRDefault="00A60204" w:rsidP="00A60204">
      <w:pPr>
        <w:spacing w:after="0"/>
        <w:textAlignment w:val="baseline"/>
        <w:rPr>
          <w:rFonts w:ascii="Verdana" w:hAnsi="Verdana" w:cs="Times New Roman"/>
          <w:color w:val="000000"/>
          <w:szCs w:val="29"/>
        </w:rPr>
      </w:pPr>
    </w:p>
    <w:tbl>
      <w:tblPr>
        <w:tblW w:w="0" w:type="dxa"/>
        <w:tblBorders>
          <w:top w:val="single" w:sz="18" w:space="0" w:color="AAAAAA"/>
          <w:left w:val="single" w:sz="18" w:space="0" w:color="AAAAAA"/>
          <w:bottom w:val="single" w:sz="18" w:space="0" w:color="AAAAAA"/>
          <w:right w:val="single" w:sz="18" w:space="0" w:color="AAAAAA"/>
        </w:tblBorders>
        <w:tblCellMar>
          <w:left w:w="0" w:type="dxa"/>
          <w:right w:w="0" w:type="dxa"/>
        </w:tblCellMar>
        <w:tblLook w:val="0000" w:firstRow="0" w:lastRow="0" w:firstColumn="0" w:lastColumn="0" w:noHBand="0" w:noVBand="0"/>
      </w:tblPr>
      <w:tblGrid>
        <w:gridCol w:w="1540"/>
        <w:gridCol w:w="1540"/>
        <w:gridCol w:w="1540"/>
        <w:gridCol w:w="1540"/>
        <w:gridCol w:w="1540"/>
        <w:gridCol w:w="1540"/>
      </w:tblGrid>
      <w:tr w:rsidR="00A60204" w:rsidRPr="003A2229">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color w:val="000000"/>
                <w:szCs w:val="29"/>
              </w:rPr>
              <w:t> </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Beavers</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Cubs</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Scouts</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Adults</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TOTAL</w:t>
            </w:r>
          </w:p>
        </w:tc>
      </w:tr>
      <w:tr w:rsidR="00A60204" w:rsidRPr="003A2229">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4B6601" w:rsidP="00A60204">
            <w:pPr>
              <w:spacing w:after="0"/>
              <w:rPr>
                <w:rFonts w:ascii="Verdana" w:hAnsi="Verdana"/>
                <w:color w:val="000000"/>
                <w:szCs w:val="29"/>
              </w:rPr>
            </w:pPr>
            <w:r w:rsidRPr="003A2229">
              <w:rPr>
                <w:rFonts w:ascii="Verdana" w:hAnsi="Verdana"/>
                <w:b/>
                <w:bCs/>
                <w:color w:val="000000"/>
              </w:rPr>
              <w:t xml:space="preserve">Start </w:t>
            </w:r>
            <w:r w:rsidR="00A60204" w:rsidRPr="003A2229">
              <w:rPr>
                <w:rFonts w:ascii="Verdana" w:hAnsi="Verdana"/>
                <w:b/>
                <w:bCs/>
                <w:color w:val="000000"/>
              </w:rPr>
              <w:t>201</w:t>
            </w:r>
            <w:r w:rsidRPr="003A2229">
              <w:rPr>
                <w:rFonts w:ascii="Verdana" w:hAnsi="Verdana"/>
                <w:b/>
                <w:bCs/>
                <w:color w:val="000000"/>
              </w:rPr>
              <w:t>7</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2</w:t>
            </w:r>
            <w:r w:rsidR="00321E7D">
              <w:rPr>
                <w:rFonts w:ascii="Verdana" w:hAnsi="Verdana"/>
                <w:color w:val="000000"/>
                <w:szCs w:val="29"/>
              </w:rPr>
              <w:t>1</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8</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0</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4</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36</w:t>
            </w:r>
          </w:p>
        </w:tc>
      </w:tr>
      <w:tr w:rsidR="00A60204" w:rsidRPr="003A2229">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A60204" w:rsidP="00A60204">
            <w:pPr>
              <w:spacing w:after="0"/>
              <w:rPr>
                <w:rFonts w:ascii="Verdana" w:hAnsi="Verdana"/>
                <w:color w:val="000000"/>
                <w:szCs w:val="29"/>
              </w:rPr>
            </w:pPr>
            <w:r w:rsidRPr="003A2229">
              <w:rPr>
                <w:rFonts w:ascii="Verdana" w:hAnsi="Verdana"/>
                <w:b/>
                <w:bCs/>
                <w:color w:val="000000"/>
              </w:rPr>
              <w:t>201</w:t>
            </w:r>
            <w:r w:rsidR="004B6601" w:rsidRPr="003A2229">
              <w:rPr>
                <w:rFonts w:ascii="Verdana" w:hAnsi="Verdana"/>
                <w:b/>
                <w:bCs/>
                <w:color w:val="000000"/>
              </w:rPr>
              <w:t>8</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23</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28</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0</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7</w:t>
            </w:r>
          </w:p>
        </w:tc>
        <w:tc>
          <w:tcPr>
            <w:tcW w:w="1540" w:type="dxa"/>
            <w:tcBorders>
              <w:top w:val="single" w:sz="8" w:space="0" w:color="AAAAAA"/>
              <w:left w:val="single" w:sz="8" w:space="0" w:color="AAAAAA"/>
              <w:bottom w:val="single" w:sz="8" w:space="0" w:color="AAAAAA"/>
              <w:right w:val="single" w:sz="8" w:space="0" w:color="AAAAAA"/>
            </w:tcBorders>
            <w:shd w:val="clear" w:color="auto" w:fill="auto"/>
            <w:tcMar>
              <w:top w:w="100" w:type="dxa"/>
              <w:left w:w="200" w:type="dxa"/>
              <w:bottom w:w="100" w:type="dxa"/>
              <w:right w:w="200" w:type="dxa"/>
            </w:tcMar>
            <w:vAlign w:val="bottom"/>
          </w:tcPr>
          <w:p w:rsidR="00A60204" w:rsidRPr="003A2229" w:rsidRDefault="006D2768" w:rsidP="00A60204">
            <w:pPr>
              <w:spacing w:after="0"/>
              <w:rPr>
                <w:rFonts w:ascii="Verdana" w:hAnsi="Verdana"/>
                <w:color w:val="000000"/>
                <w:szCs w:val="29"/>
              </w:rPr>
            </w:pPr>
            <w:r>
              <w:rPr>
                <w:rFonts w:ascii="Verdana" w:hAnsi="Verdana"/>
                <w:color w:val="000000"/>
                <w:szCs w:val="29"/>
              </w:rPr>
              <w:t>58</w:t>
            </w:r>
          </w:p>
        </w:tc>
      </w:tr>
    </w:tbl>
    <w:p w:rsidR="004B6601" w:rsidRPr="003A2229" w:rsidRDefault="004B6601" w:rsidP="00A60204">
      <w:pPr>
        <w:spacing w:after="0"/>
        <w:textAlignment w:val="baseline"/>
        <w:rPr>
          <w:rFonts w:ascii="Verdana" w:hAnsi="Verdana" w:cs="Times New Roman"/>
          <w:color w:val="000000"/>
          <w:szCs w:val="29"/>
        </w:rPr>
      </w:pPr>
    </w:p>
    <w:p w:rsidR="00A60204" w:rsidRPr="003A2229" w:rsidRDefault="00A60204" w:rsidP="00A60204">
      <w:pPr>
        <w:spacing w:after="0"/>
        <w:textAlignment w:val="baseline"/>
        <w:rPr>
          <w:rFonts w:ascii="Verdana" w:hAnsi="Verdana" w:cs="Times New Roman"/>
          <w:color w:val="000000"/>
          <w:szCs w:val="29"/>
        </w:rPr>
      </w:pPr>
      <w:r w:rsidRPr="003A2229">
        <w:rPr>
          <w:rFonts w:ascii="Verdana" w:hAnsi="Verdana" w:cs="Times New Roman"/>
          <w:color w:val="000000"/>
          <w:szCs w:val="29"/>
        </w:rPr>
        <w:t>The Group</w:t>
      </w:r>
      <w:r w:rsidR="004B6601" w:rsidRPr="003A2229">
        <w:rPr>
          <w:rFonts w:ascii="Verdana" w:hAnsi="Verdana" w:cs="Times New Roman"/>
          <w:color w:val="000000"/>
          <w:szCs w:val="29"/>
        </w:rPr>
        <w:t xml:space="preserve"> continues to grow with a Scout group planned for September</w:t>
      </w:r>
      <w:r w:rsidRPr="003A2229">
        <w:rPr>
          <w:rFonts w:ascii="Verdana" w:hAnsi="Verdana" w:cs="Times New Roman"/>
          <w:color w:val="000000"/>
          <w:szCs w:val="29"/>
        </w:rPr>
        <w:t>, and this is without doubt due to the active and fun programme of</w:t>
      </w:r>
      <w:r w:rsidR="004B6601" w:rsidRPr="003A2229">
        <w:rPr>
          <w:rFonts w:ascii="Verdana" w:hAnsi="Verdana" w:cs="Times New Roman"/>
          <w:color w:val="000000"/>
          <w:szCs w:val="29"/>
        </w:rPr>
        <w:t xml:space="preserve"> Scouting delivered across Beaver and Cub</w:t>
      </w:r>
      <w:r w:rsidRPr="003A2229">
        <w:rPr>
          <w:rFonts w:ascii="Verdana" w:hAnsi="Verdana" w:cs="Times New Roman"/>
          <w:color w:val="000000"/>
          <w:szCs w:val="29"/>
        </w:rPr>
        <w:t xml:space="preserve"> sections of the Group, under the leadership of </w:t>
      </w:r>
      <w:r w:rsidR="004B6601" w:rsidRPr="003A2229">
        <w:rPr>
          <w:rFonts w:ascii="Verdana" w:hAnsi="Verdana" w:cs="Times New Roman"/>
          <w:color w:val="000000"/>
          <w:szCs w:val="29"/>
        </w:rPr>
        <w:t>Vicky Woodal</w:t>
      </w:r>
      <w:r w:rsidR="00445574">
        <w:rPr>
          <w:rFonts w:ascii="Verdana" w:hAnsi="Verdana" w:cs="Times New Roman"/>
          <w:color w:val="000000"/>
          <w:szCs w:val="29"/>
        </w:rPr>
        <w:t>l</w:t>
      </w:r>
      <w:r w:rsidRPr="003A2229">
        <w:rPr>
          <w:rFonts w:ascii="Verdana" w:hAnsi="Verdana" w:cs="Times New Roman"/>
          <w:color w:val="000000"/>
          <w:szCs w:val="29"/>
        </w:rPr>
        <w:t>, our Group Scout Leader. All of our Leaders and Supporters put in a huge amount of time and effort to ensure that our young people have best possible Scouting experience. I am pleased that we have the opportunity to acknowledge their contributions and to thank them at this year’s AGM.</w:t>
      </w:r>
    </w:p>
    <w:p w:rsidR="00A60204" w:rsidRPr="003A2229" w:rsidRDefault="00A60204"/>
    <w:sectPr w:rsidR="00A60204" w:rsidRPr="003A2229" w:rsidSect="00A60204">
      <w:pgSz w:w="11899" w:h="16838"/>
      <w:pgMar w:top="567" w:right="567" w:bottom="567" w:left="567" w:header="431" w:footer="43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204"/>
    <w:rsid w:val="00221CE5"/>
    <w:rsid w:val="00321E7D"/>
    <w:rsid w:val="003A216C"/>
    <w:rsid w:val="003A2229"/>
    <w:rsid w:val="00445574"/>
    <w:rsid w:val="004B6601"/>
    <w:rsid w:val="00574E79"/>
    <w:rsid w:val="006D2768"/>
    <w:rsid w:val="0072553E"/>
    <w:rsid w:val="00797CC1"/>
    <w:rsid w:val="008A01BC"/>
    <w:rsid w:val="008E35F9"/>
    <w:rsid w:val="0094402E"/>
    <w:rsid w:val="00A60204"/>
    <w:rsid w:val="00CE01F7"/>
    <w:rsid w:val="00F8676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9518E6"/>
  <w15:docId w15:val="{FA12D4B6-6643-964B-92CA-C8B8CA1E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F5B"/>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0204"/>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60204"/>
  </w:style>
  <w:style w:type="character" w:styleId="Strong">
    <w:name w:val="Strong"/>
    <w:basedOn w:val="DefaultParagraphFont"/>
    <w:uiPriority w:val="22"/>
    <w:rsid w:val="00A6020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10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Cloke</dc:creator>
  <cp:keywords/>
  <cp:lastModifiedBy>Mark Cloke</cp:lastModifiedBy>
  <cp:revision>2</cp:revision>
  <cp:lastPrinted>2018-06-06T12:47:00Z</cp:lastPrinted>
  <dcterms:created xsi:type="dcterms:W3CDTF">2018-06-07T11:08:00Z</dcterms:created>
  <dcterms:modified xsi:type="dcterms:W3CDTF">2018-06-07T11:08:00Z</dcterms:modified>
</cp:coreProperties>
</file>